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3783" w14:textId="47EF8CAC" w:rsidR="009231C1" w:rsidRPr="00A94AB0" w:rsidRDefault="009231C1">
      <w:pPr>
        <w:rPr>
          <w:rFonts w:ascii="Times New Roman" w:hAnsi="Times New Roman" w:cs="Times New Roman"/>
          <w:b/>
          <w:color w:val="000000"/>
          <w:sz w:val="24"/>
          <w:szCs w:val="24"/>
        </w:rPr>
      </w:pPr>
      <w:r w:rsidRPr="00A94AB0">
        <w:rPr>
          <w:rFonts w:ascii="Times New Roman" w:hAnsi="Times New Roman" w:cs="Times New Roman"/>
          <w:b/>
          <w:color w:val="000000"/>
          <w:sz w:val="24"/>
          <w:szCs w:val="24"/>
        </w:rPr>
        <w:t xml:space="preserve">Proposal for the new </w:t>
      </w:r>
      <w:r w:rsidR="007A51CA" w:rsidRPr="00A94AB0">
        <w:rPr>
          <w:rFonts w:ascii="Times New Roman" w:hAnsi="Times New Roman" w:cs="Times New Roman"/>
          <w:b/>
          <w:color w:val="000000"/>
          <w:sz w:val="24"/>
          <w:szCs w:val="24"/>
        </w:rPr>
        <w:t xml:space="preserve">World </w:t>
      </w:r>
      <w:r w:rsidRPr="00A94AB0">
        <w:rPr>
          <w:rFonts w:ascii="Times New Roman" w:hAnsi="Times New Roman" w:cs="Times New Roman"/>
          <w:b/>
          <w:color w:val="000000"/>
          <w:sz w:val="24"/>
          <w:szCs w:val="24"/>
        </w:rPr>
        <w:t>Language</w:t>
      </w:r>
      <w:r w:rsidR="007A51CA" w:rsidRPr="00A94AB0">
        <w:rPr>
          <w:rFonts w:ascii="Times New Roman" w:hAnsi="Times New Roman" w:cs="Times New Roman"/>
          <w:b/>
          <w:color w:val="000000"/>
          <w:sz w:val="24"/>
          <w:szCs w:val="24"/>
        </w:rPr>
        <w:t>s</w:t>
      </w:r>
      <w:r w:rsidRPr="00A94AB0">
        <w:rPr>
          <w:rFonts w:ascii="Times New Roman" w:hAnsi="Times New Roman" w:cs="Times New Roman"/>
          <w:b/>
          <w:color w:val="000000"/>
          <w:sz w:val="24"/>
          <w:szCs w:val="24"/>
        </w:rPr>
        <w:t xml:space="preserve"> Requirement</w:t>
      </w:r>
      <w:r w:rsidRPr="00A94AB0">
        <w:rPr>
          <w:rFonts w:ascii="Times New Roman" w:hAnsi="Times New Roman" w:cs="Times New Roman"/>
          <w:b/>
          <w:color w:val="000000"/>
          <w:sz w:val="24"/>
          <w:szCs w:val="24"/>
        </w:rPr>
        <w:tab/>
      </w:r>
      <w:r w:rsidRPr="00A94AB0">
        <w:rPr>
          <w:rFonts w:ascii="Times New Roman" w:hAnsi="Times New Roman" w:cs="Times New Roman"/>
          <w:b/>
          <w:color w:val="000000"/>
          <w:sz w:val="24"/>
          <w:szCs w:val="24"/>
        </w:rPr>
        <w:tab/>
      </w:r>
      <w:r w:rsidRPr="00A94AB0">
        <w:rPr>
          <w:rFonts w:ascii="Times New Roman" w:hAnsi="Times New Roman" w:cs="Times New Roman"/>
          <w:b/>
          <w:color w:val="000000"/>
          <w:sz w:val="24"/>
          <w:szCs w:val="24"/>
        </w:rPr>
        <w:tab/>
      </w:r>
      <w:r w:rsidR="00A94AB0" w:rsidRPr="00A94AB0">
        <w:rPr>
          <w:rFonts w:ascii="Times New Roman" w:hAnsi="Times New Roman" w:cs="Times New Roman"/>
          <w:b/>
          <w:color w:val="000000"/>
          <w:sz w:val="24"/>
          <w:szCs w:val="24"/>
        </w:rPr>
        <w:t>March</w:t>
      </w:r>
      <w:r w:rsidRPr="00A94AB0">
        <w:rPr>
          <w:rFonts w:ascii="Times New Roman" w:hAnsi="Times New Roman" w:cs="Times New Roman"/>
          <w:b/>
          <w:color w:val="000000"/>
          <w:sz w:val="24"/>
          <w:szCs w:val="24"/>
        </w:rPr>
        <w:t xml:space="preserve"> 201</w:t>
      </w:r>
      <w:r w:rsidR="003E2361">
        <w:rPr>
          <w:rFonts w:ascii="Times New Roman" w:hAnsi="Times New Roman" w:cs="Times New Roman"/>
          <w:b/>
          <w:color w:val="000000"/>
          <w:sz w:val="24"/>
          <w:szCs w:val="24"/>
        </w:rPr>
        <w:t>8</w:t>
      </w:r>
      <w:bookmarkStart w:id="0" w:name="_GoBack"/>
      <w:bookmarkEnd w:id="0"/>
    </w:p>
    <w:p w14:paraId="46718958" w14:textId="402874B3" w:rsidR="00204999" w:rsidRPr="00A94AB0" w:rsidRDefault="00204999" w:rsidP="00204999">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In 2014, four members of the United States Senate and four member</w:t>
      </w:r>
      <w:r w:rsidR="00A13684">
        <w:rPr>
          <w:rFonts w:ascii="Times New Roman" w:hAnsi="Times New Roman" w:cs="Times New Roman"/>
          <w:sz w:val="24"/>
          <w:szCs w:val="24"/>
        </w:rPr>
        <w:t>s</w:t>
      </w:r>
      <w:r w:rsidRPr="00A94AB0">
        <w:rPr>
          <w:rFonts w:ascii="Times New Roman" w:hAnsi="Times New Roman" w:cs="Times New Roman"/>
          <w:sz w:val="24"/>
          <w:szCs w:val="24"/>
        </w:rPr>
        <w:t xml:space="preserve"> of the United States House of Representatives requested that the American Academy of Arts and Sciences examine the role of language learning in the economy and the fulfilment of all Americans, and that they propose actions to ensure excellence in all languages as well as international education and research. Two key findings of the study (</w:t>
      </w:r>
      <w:r w:rsidRPr="00A94AB0">
        <w:rPr>
          <w:rFonts w:ascii="Times New Roman" w:hAnsi="Times New Roman" w:cs="Times New Roman"/>
          <w:i/>
          <w:sz w:val="24"/>
          <w:szCs w:val="24"/>
        </w:rPr>
        <w:t>America’s languages: Investing in language education for the 21</w:t>
      </w:r>
      <w:r w:rsidRPr="00A94AB0">
        <w:rPr>
          <w:rFonts w:ascii="Times New Roman" w:hAnsi="Times New Roman" w:cs="Times New Roman"/>
          <w:i/>
          <w:sz w:val="24"/>
          <w:szCs w:val="24"/>
          <w:vertAlign w:val="superscript"/>
        </w:rPr>
        <w:t>st</w:t>
      </w:r>
      <w:r w:rsidRPr="00A94AB0">
        <w:rPr>
          <w:rFonts w:ascii="Times New Roman" w:hAnsi="Times New Roman" w:cs="Times New Roman"/>
          <w:i/>
          <w:sz w:val="24"/>
          <w:szCs w:val="24"/>
        </w:rPr>
        <w:t xml:space="preserve"> century</w:t>
      </w:r>
      <w:r w:rsidRPr="00A94AB0">
        <w:rPr>
          <w:rFonts w:ascii="Times New Roman" w:hAnsi="Times New Roman" w:cs="Times New Roman"/>
          <w:sz w:val="24"/>
          <w:szCs w:val="24"/>
        </w:rPr>
        <w:t>, viii: 2017) are that the ability to understand, speak, read, and write in world languages, in addition to English, is critical to success in business, research, and international relations in the twenty-first century and that the United States lags behind most nations of the world, including European nations and China, in the percentage of its citizens who have some knowledge of a second language.</w:t>
      </w:r>
    </w:p>
    <w:p w14:paraId="763D1CD0" w14:textId="484F668B" w:rsidR="00204999" w:rsidRPr="00A94AB0" w:rsidRDefault="0048362F" w:rsidP="007B36B0">
      <w:pPr>
        <w:ind w:firstLine="720"/>
        <w:rPr>
          <w:rFonts w:ascii="Times New Roman" w:hAnsi="Times New Roman" w:cs="Times New Roman"/>
          <w:color w:val="26282A"/>
          <w:sz w:val="24"/>
          <w:szCs w:val="24"/>
          <w:shd w:val="clear" w:color="auto" w:fill="FFFFFF"/>
        </w:rPr>
      </w:pPr>
      <w:r w:rsidRPr="00A94AB0">
        <w:rPr>
          <w:rFonts w:ascii="Times New Roman" w:hAnsi="Times New Roman" w:cs="Times New Roman"/>
          <w:color w:val="26282A"/>
          <w:sz w:val="24"/>
          <w:szCs w:val="24"/>
          <w:shd w:val="clear" w:color="auto" w:fill="FFFFFF"/>
        </w:rPr>
        <w:t>Kn</w:t>
      </w:r>
      <w:r w:rsidR="007B36B0" w:rsidRPr="00A94AB0">
        <w:rPr>
          <w:rFonts w:ascii="Times New Roman" w:hAnsi="Times New Roman" w:cs="Times New Roman"/>
          <w:color w:val="26282A"/>
          <w:sz w:val="24"/>
          <w:szCs w:val="24"/>
          <w:shd w:val="clear" w:color="auto" w:fill="FFFFFF"/>
        </w:rPr>
        <w:t>owledge of a</w:t>
      </w:r>
      <w:r w:rsidR="00204999" w:rsidRPr="00A94AB0">
        <w:rPr>
          <w:rFonts w:ascii="Times New Roman" w:hAnsi="Times New Roman" w:cs="Times New Roman"/>
          <w:color w:val="26282A"/>
          <w:sz w:val="24"/>
          <w:szCs w:val="24"/>
          <w:shd w:val="clear" w:color="auto" w:fill="FFFFFF"/>
        </w:rPr>
        <w:t xml:space="preserve"> language</w:t>
      </w:r>
      <w:r w:rsidR="007B36B0" w:rsidRPr="00A94AB0">
        <w:rPr>
          <w:rFonts w:ascii="Times New Roman" w:hAnsi="Times New Roman" w:cs="Times New Roman"/>
          <w:color w:val="26282A"/>
          <w:sz w:val="24"/>
          <w:szCs w:val="24"/>
          <w:shd w:val="clear" w:color="auto" w:fill="FFFFFF"/>
        </w:rPr>
        <w:t xml:space="preserve"> other than one’s own</w:t>
      </w:r>
      <w:r w:rsidR="00204999" w:rsidRPr="00A94AB0">
        <w:rPr>
          <w:rFonts w:ascii="Times New Roman" w:hAnsi="Times New Roman" w:cs="Times New Roman"/>
          <w:color w:val="26282A"/>
          <w:sz w:val="24"/>
          <w:szCs w:val="24"/>
          <w:shd w:val="clear" w:color="auto" w:fill="FFFFFF"/>
        </w:rPr>
        <w:t xml:space="preserve"> is a fundamental </w:t>
      </w:r>
      <w:r w:rsidR="007B36B0" w:rsidRPr="00A94AB0">
        <w:rPr>
          <w:rFonts w:ascii="Times New Roman" w:hAnsi="Times New Roman" w:cs="Times New Roman"/>
          <w:color w:val="26282A"/>
          <w:sz w:val="24"/>
          <w:szCs w:val="24"/>
          <w:shd w:val="clear" w:color="auto" w:fill="FFFFFF"/>
        </w:rPr>
        <w:t>characteristic of an educated citizen in today's global world. This knowledge allows</w:t>
      </w:r>
      <w:r w:rsidR="00204999" w:rsidRPr="00A94AB0">
        <w:rPr>
          <w:rFonts w:ascii="Times New Roman" w:hAnsi="Times New Roman" w:cs="Times New Roman"/>
          <w:color w:val="26282A"/>
          <w:sz w:val="24"/>
          <w:szCs w:val="24"/>
          <w:shd w:val="clear" w:color="auto" w:fill="FFFFFF"/>
        </w:rPr>
        <w:t xml:space="preserve"> </w:t>
      </w:r>
      <w:r w:rsidR="007B36B0" w:rsidRPr="00A94AB0">
        <w:rPr>
          <w:rFonts w:ascii="Times New Roman" w:hAnsi="Times New Roman" w:cs="Times New Roman"/>
          <w:color w:val="26282A"/>
          <w:sz w:val="24"/>
          <w:szCs w:val="24"/>
          <w:shd w:val="clear" w:color="auto" w:fill="FFFFFF"/>
        </w:rPr>
        <w:t>engagement</w:t>
      </w:r>
      <w:r w:rsidR="00204999" w:rsidRPr="00A94AB0">
        <w:rPr>
          <w:rFonts w:ascii="Times New Roman" w:hAnsi="Times New Roman" w:cs="Times New Roman"/>
          <w:color w:val="26282A"/>
          <w:sz w:val="24"/>
          <w:szCs w:val="24"/>
          <w:shd w:val="clear" w:color="auto" w:fill="FFFFFF"/>
        </w:rPr>
        <w:t xml:space="preserve"> in mutually shared communication with people from other cultures, while at the same time refining understanding of </w:t>
      </w:r>
      <w:r w:rsidR="007B36B0" w:rsidRPr="00A94AB0">
        <w:rPr>
          <w:rFonts w:ascii="Times New Roman" w:hAnsi="Times New Roman" w:cs="Times New Roman"/>
          <w:color w:val="26282A"/>
          <w:sz w:val="24"/>
          <w:szCs w:val="24"/>
          <w:shd w:val="clear" w:color="auto" w:fill="FFFFFF"/>
        </w:rPr>
        <w:t>one’s</w:t>
      </w:r>
      <w:r w:rsidR="00204999" w:rsidRPr="00A94AB0">
        <w:rPr>
          <w:rFonts w:ascii="Times New Roman" w:hAnsi="Times New Roman" w:cs="Times New Roman"/>
          <w:color w:val="26282A"/>
          <w:sz w:val="24"/>
          <w:szCs w:val="24"/>
          <w:shd w:val="clear" w:color="auto" w:fill="FFFFFF"/>
        </w:rPr>
        <w:t xml:space="preserve"> own language and culture. By developing interactive skills in a foreign language and enhancing cultural literacy, students in the liberal arts come to understand the limits of their own language, to expand their view of the world, and to free themselves from misconceptions about other nations, societies, and cultures.</w:t>
      </w:r>
    </w:p>
    <w:p w14:paraId="5F09C911" w14:textId="77777777" w:rsidR="00204999" w:rsidRPr="00A94AB0" w:rsidRDefault="00204999" w:rsidP="00204999">
      <w:pPr>
        <w:rPr>
          <w:rFonts w:ascii="Times New Roman" w:hAnsi="Times New Roman" w:cs="Times New Roman"/>
          <w:b/>
          <w:color w:val="000000"/>
          <w:sz w:val="24"/>
          <w:szCs w:val="24"/>
        </w:rPr>
      </w:pPr>
      <w:r w:rsidRPr="00A94AB0">
        <w:rPr>
          <w:rFonts w:ascii="Times New Roman" w:hAnsi="Times New Roman" w:cs="Times New Roman"/>
          <w:b/>
          <w:color w:val="000000"/>
          <w:sz w:val="24"/>
          <w:szCs w:val="24"/>
        </w:rPr>
        <w:t>The World Languages Requirement</w:t>
      </w:r>
    </w:p>
    <w:p w14:paraId="72530EDC" w14:textId="72B844CB" w:rsidR="00CB1486" w:rsidRPr="00A94AB0" w:rsidRDefault="00CB1486" w:rsidP="00CB1486">
      <w:pPr>
        <w:pStyle w:val="yiv6932554034msonormal"/>
        <w:shd w:val="clear" w:color="auto" w:fill="FFFFFF"/>
      </w:pPr>
      <w:r w:rsidRPr="00A94AB0">
        <w:rPr>
          <w:color w:val="26282A"/>
        </w:rPr>
        <w:t xml:space="preserve">The World Languages Requirement for all students in the College of Arts and Sciences is proficiency through the third level (numbered 1103) of a language other than English.  New students (first-year </w:t>
      </w:r>
      <w:r w:rsidRPr="00A94AB0">
        <w:t>students and transfer students alike</w:t>
      </w:r>
      <w:r w:rsidRPr="00A94AB0">
        <w:rPr>
          <w:color w:val="26282A"/>
        </w:rPr>
        <w:t>) who have not taken world language course work in high school or post-high-school may choose any of the languages offered at OSU,</w:t>
      </w:r>
      <w:r w:rsidRPr="00A94AB0">
        <w:rPr>
          <w:color w:val="FF0000"/>
        </w:rPr>
        <w:t> </w:t>
      </w:r>
      <w:r w:rsidRPr="00A94AB0">
        <w:rPr>
          <w:color w:val="26282A"/>
        </w:rPr>
        <w:t>beginning with course number 1101 and completing through 1103. We</w:t>
      </w:r>
      <w:r w:rsidRPr="00A94AB0">
        <w:t xml:space="preserve"> offer over 35 languages, most of which are not offered in high schools and at OSU have majors and/or minors:</w:t>
      </w:r>
    </w:p>
    <w:p w14:paraId="776E05BB"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8" w:tooltip="American Sign Language Program website." w:history="1">
        <w:r w:rsidR="00CB1486" w:rsidRPr="00A94AB0">
          <w:rPr>
            <w:rFonts w:ascii="Times New Roman" w:eastAsia="Times New Roman" w:hAnsi="Times New Roman" w:cs="Times New Roman"/>
            <w:sz w:val="24"/>
            <w:szCs w:val="24"/>
            <w:u w:val="single"/>
            <w:bdr w:val="none" w:sz="0" w:space="0" w:color="auto" w:frame="1"/>
          </w:rPr>
          <w:t>American Sign Language</w:t>
        </w:r>
      </w:hyperlink>
      <w:r w:rsidR="00CB1486" w:rsidRPr="00A94AB0">
        <w:rPr>
          <w:rFonts w:ascii="Times New Roman" w:eastAsia="Times New Roman" w:hAnsi="Times New Roman" w:cs="Times New Roman"/>
          <w:sz w:val="24"/>
          <w:szCs w:val="24"/>
        </w:rPr>
        <w:t>, from the American Sign Language Program.</w:t>
      </w:r>
    </w:p>
    <w:p w14:paraId="52DEC1DB"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9"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Arabic</w:t>
        </w:r>
      </w:hyperlink>
      <w:r w:rsidR="00CB1486" w:rsidRPr="00A94AB0">
        <w:rPr>
          <w:rFonts w:ascii="Times New Roman" w:eastAsia="Times New Roman" w:hAnsi="Times New Roman" w:cs="Times New Roman"/>
          <w:sz w:val="24"/>
          <w:szCs w:val="24"/>
        </w:rPr>
        <w:t>, from the Department of Near Eastern Languages and Cultures.</w:t>
      </w:r>
    </w:p>
    <w:p w14:paraId="46BFD031"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0"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Bosnian-Croatian-Serbian</w:t>
        </w:r>
      </w:hyperlink>
      <w:r w:rsidR="00CB1486" w:rsidRPr="00A94AB0">
        <w:rPr>
          <w:rFonts w:ascii="Times New Roman" w:eastAsia="Times New Roman" w:hAnsi="Times New Roman" w:cs="Times New Roman"/>
          <w:sz w:val="24"/>
          <w:szCs w:val="24"/>
        </w:rPr>
        <w:t>, from the Department of Slavic and East European Languages and Cultures.</w:t>
      </w:r>
    </w:p>
    <w:p w14:paraId="47A2B547" w14:textId="77777777" w:rsidR="00CB1486" w:rsidRPr="00A94AB0" w:rsidRDefault="00CB1486"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r w:rsidRPr="00A94AB0">
        <w:rPr>
          <w:rFonts w:ascii="Times New Roman" w:eastAsia="Times New Roman" w:hAnsi="Times New Roman" w:cs="Times New Roman"/>
          <w:sz w:val="24"/>
          <w:szCs w:val="24"/>
          <w:u w:val="single"/>
        </w:rPr>
        <w:t>Cantonese</w:t>
      </w:r>
      <w:r w:rsidRPr="00A94AB0">
        <w:rPr>
          <w:rFonts w:ascii="Times New Roman" w:eastAsia="Times New Roman" w:hAnsi="Times New Roman" w:cs="Times New Roman"/>
          <w:sz w:val="24"/>
          <w:szCs w:val="24"/>
        </w:rPr>
        <w:t>, from the Department of East Asian Languages and Literatures.</w:t>
      </w:r>
    </w:p>
    <w:p w14:paraId="48113797"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1"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Chinese</w:t>
        </w:r>
      </w:hyperlink>
      <w:r w:rsidR="00CB1486" w:rsidRPr="00A94AB0">
        <w:rPr>
          <w:rFonts w:ascii="Times New Roman" w:eastAsia="Times New Roman" w:hAnsi="Times New Roman" w:cs="Times New Roman"/>
          <w:sz w:val="24"/>
          <w:szCs w:val="24"/>
          <w:bdr w:val="none" w:sz="0" w:space="0" w:color="auto" w:frame="1"/>
        </w:rPr>
        <w:t>, from the Department of East Asian Languages and Literatures.</w:t>
      </w:r>
    </w:p>
    <w:p w14:paraId="578E6AAE"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2"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Czech</w:t>
        </w:r>
      </w:hyperlink>
      <w:r w:rsidR="00CB1486" w:rsidRPr="00A94AB0">
        <w:rPr>
          <w:rFonts w:ascii="Times New Roman" w:eastAsia="Times New Roman" w:hAnsi="Times New Roman" w:cs="Times New Roman"/>
          <w:sz w:val="24"/>
          <w:szCs w:val="24"/>
        </w:rPr>
        <w:t>, from the Department of Slavic and East European Languages and Cultures.</w:t>
      </w:r>
    </w:p>
    <w:p w14:paraId="0D9F725A"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3" w:tooltip="The Department of French and Italian website." w:history="1">
        <w:r w:rsidR="00CB1486" w:rsidRPr="00A94AB0">
          <w:rPr>
            <w:rFonts w:ascii="Times New Roman" w:eastAsia="Times New Roman" w:hAnsi="Times New Roman" w:cs="Times New Roman"/>
            <w:sz w:val="24"/>
            <w:szCs w:val="24"/>
            <w:u w:val="single"/>
            <w:bdr w:val="none" w:sz="0" w:space="0" w:color="auto" w:frame="1"/>
          </w:rPr>
          <w:t>French</w:t>
        </w:r>
      </w:hyperlink>
      <w:r w:rsidR="00CB1486" w:rsidRPr="00A94AB0">
        <w:rPr>
          <w:rFonts w:ascii="Times New Roman" w:eastAsia="Times New Roman" w:hAnsi="Times New Roman" w:cs="Times New Roman"/>
          <w:sz w:val="24"/>
          <w:szCs w:val="24"/>
        </w:rPr>
        <w:t>, from the Department of French and Italian.</w:t>
      </w:r>
    </w:p>
    <w:p w14:paraId="38F291B4"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4" w:tooltip="The Department of Germanic Languages and Literatures website." w:history="1">
        <w:r w:rsidR="00CB1486" w:rsidRPr="00A94AB0">
          <w:rPr>
            <w:rFonts w:ascii="Times New Roman" w:eastAsia="Times New Roman" w:hAnsi="Times New Roman" w:cs="Times New Roman"/>
            <w:sz w:val="24"/>
            <w:szCs w:val="24"/>
            <w:u w:val="single"/>
            <w:bdr w:val="none" w:sz="0" w:space="0" w:color="auto" w:frame="1"/>
          </w:rPr>
          <w:t>German</w:t>
        </w:r>
      </w:hyperlink>
      <w:r w:rsidR="00CB1486" w:rsidRPr="00A94AB0">
        <w:rPr>
          <w:rFonts w:ascii="Times New Roman" w:eastAsia="Times New Roman" w:hAnsi="Times New Roman" w:cs="Times New Roman"/>
          <w:sz w:val="24"/>
          <w:szCs w:val="24"/>
        </w:rPr>
        <w:t>, from the Department of Germanic Languages and Literatures.</w:t>
      </w:r>
    </w:p>
    <w:p w14:paraId="4CCC8A45"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5" w:tooltip="The Department of Classics website." w:history="1">
        <w:r w:rsidR="00CB1486" w:rsidRPr="00A94AB0">
          <w:rPr>
            <w:rFonts w:ascii="Times New Roman" w:eastAsia="Times New Roman" w:hAnsi="Times New Roman" w:cs="Times New Roman"/>
            <w:sz w:val="24"/>
            <w:szCs w:val="24"/>
            <w:u w:val="single"/>
            <w:bdr w:val="none" w:sz="0" w:space="0" w:color="auto" w:frame="1"/>
          </w:rPr>
          <w:t>Greek</w:t>
        </w:r>
      </w:hyperlink>
      <w:r w:rsidR="00CB1486" w:rsidRPr="00A94AB0">
        <w:rPr>
          <w:rFonts w:ascii="Times New Roman" w:eastAsia="Times New Roman" w:hAnsi="Times New Roman" w:cs="Times New Roman"/>
          <w:sz w:val="24"/>
          <w:szCs w:val="24"/>
        </w:rPr>
        <w:t>, from the Department of Classics.</w:t>
      </w:r>
    </w:p>
    <w:p w14:paraId="5DE157C6"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6"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Hebrew</w:t>
        </w:r>
      </w:hyperlink>
      <w:r w:rsidR="00CB1486" w:rsidRPr="00A94AB0">
        <w:rPr>
          <w:rFonts w:ascii="Times New Roman" w:eastAsia="Times New Roman" w:hAnsi="Times New Roman" w:cs="Times New Roman"/>
          <w:sz w:val="24"/>
          <w:szCs w:val="24"/>
        </w:rPr>
        <w:t>, from the Department of Near Eastern Languages and Cultures.</w:t>
      </w:r>
    </w:p>
    <w:p w14:paraId="28F1378C"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7"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Hindi</w:t>
        </w:r>
      </w:hyperlink>
      <w:r w:rsidR="00CB1486" w:rsidRPr="00A94AB0">
        <w:rPr>
          <w:rFonts w:ascii="Times New Roman" w:eastAsia="Times New Roman" w:hAnsi="Times New Roman" w:cs="Times New Roman"/>
          <w:sz w:val="24"/>
          <w:szCs w:val="24"/>
        </w:rPr>
        <w:t>, from the Department of Near Eastern Languages and Cultures.</w:t>
      </w:r>
    </w:p>
    <w:p w14:paraId="48ECCFEC"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8" w:tooltip="The Department of French and Italian website." w:history="1">
        <w:r w:rsidR="00CB1486" w:rsidRPr="00A94AB0">
          <w:rPr>
            <w:rFonts w:ascii="Times New Roman" w:eastAsia="Times New Roman" w:hAnsi="Times New Roman" w:cs="Times New Roman"/>
            <w:sz w:val="24"/>
            <w:szCs w:val="24"/>
            <w:u w:val="single"/>
            <w:bdr w:val="none" w:sz="0" w:space="0" w:color="auto" w:frame="1"/>
          </w:rPr>
          <w:t>Italian</w:t>
        </w:r>
      </w:hyperlink>
      <w:r w:rsidR="00CB1486" w:rsidRPr="00A94AB0">
        <w:rPr>
          <w:rFonts w:ascii="Times New Roman" w:eastAsia="Times New Roman" w:hAnsi="Times New Roman" w:cs="Times New Roman"/>
          <w:sz w:val="24"/>
          <w:szCs w:val="24"/>
        </w:rPr>
        <w:t>, from the Department of French and Italian.</w:t>
      </w:r>
    </w:p>
    <w:p w14:paraId="3FF17750"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19"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Japanese</w:t>
        </w:r>
      </w:hyperlink>
      <w:r w:rsidR="00CB1486" w:rsidRPr="00A94AB0">
        <w:rPr>
          <w:rFonts w:ascii="Times New Roman" w:eastAsia="Times New Roman" w:hAnsi="Times New Roman" w:cs="Times New Roman"/>
          <w:sz w:val="24"/>
          <w:szCs w:val="24"/>
        </w:rPr>
        <w:t>, from the Department of East Asian Languages and Literatures.</w:t>
      </w:r>
    </w:p>
    <w:p w14:paraId="2D7B0517"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0"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Korean</w:t>
        </w:r>
      </w:hyperlink>
      <w:r w:rsidR="00CB1486" w:rsidRPr="00A94AB0">
        <w:rPr>
          <w:rFonts w:ascii="Times New Roman" w:eastAsia="Times New Roman" w:hAnsi="Times New Roman" w:cs="Times New Roman"/>
          <w:sz w:val="24"/>
          <w:szCs w:val="24"/>
        </w:rPr>
        <w:t>, from the Department of East Asian Languages and Literatures.</w:t>
      </w:r>
    </w:p>
    <w:p w14:paraId="637F12B4"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1" w:tooltip="The Department of Classics website." w:history="1">
        <w:r w:rsidR="00CB1486" w:rsidRPr="00A94AB0">
          <w:rPr>
            <w:rFonts w:ascii="Times New Roman" w:eastAsia="Times New Roman" w:hAnsi="Times New Roman" w:cs="Times New Roman"/>
            <w:sz w:val="24"/>
            <w:szCs w:val="24"/>
            <w:u w:val="single"/>
            <w:bdr w:val="none" w:sz="0" w:space="0" w:color="auto" w:frame="1"/>
          </w:rPr>
          <w:t>Latin</w:t>
        </w:r>
      </w:hyperlink>
      <w:r w:rsidR="00CB1486" w:rsidRPr="00A94AB0">
        <w:rPr>
          <w:rFonts w:ascii="Times New Roman" w:eastAsia="Times New Roman" w:hAnsi="Times New Roman" w:cs="Times New Roman"/>
          <w:sz w:val="24"/>
          <w:szCs w:val="24"/>
        </w:rPr>
        <w:t>, from the Department of Classics.</w:t>
      </w:r>
    </w:p>
    <w:p w14:paraId="1CFD6AF2"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2"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Persian</w:t>
        </w:r>
      </w:hyperlink>
      <w:r w:rsidR="00CB1486" w:rsidRPr="00A94AB0">
        <w:rPr>
          <w:rFonts w:ascii="Times New Roman" w:eastAsia="Times New Roman" w:hAnsi="Times New Roman" w:cs="Times New Roman"/>
          <w:sz w:val="24"/>
          <w:szCs w:val="24"/>
        </w:rPr>
        <w:t>, from the Department of Near Eastern Languages and Cultures.</w:t>
      </w:r>
    </w:p>
    <w:p w14:paraId="40FC7A70"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3"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Polish</w:t>
        </w:r>
      </w:hyperlink>
      <w:r w:rsidR="00CB1486" w:rsidRPr="00A94AB0">
        <w:rPr>
          <w:rFonts w:ascii="Times New Roman" w:eastAsia="Times New Roman" w:hAnsi="Times New Roman" w:cs="Times New Roman"/>
          <w:sz w:val="24"/>
          <w:szCs w:val="24"/>
        </w:rPr>
        <w:t>, from the Department of Slavic and East European Languages and Cultures.</w:t>
      </w:r>
    </w:p>
    <w:p w14:paraId="30F20131"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4" w:tooltip="The Department of Spanish and Portuguese website" w:history="1">
        <w:r w:rsidR="00CB1486" w:rsidRPr="00A94AB0">
          <w:rPr>
            <w:rFonts w:ascii="Times New Roman" w:eastAsia="Times New Roman" w:hAnsi="Times New Roman" w:cs="Times New Roman"/>
            <w:sz w:val="24"/>
            <w:szCs w:val="24"/>
            <w:u w:val="single"/>
            <w:bdr w:val="none" w:sz="0" w:space="0" w:color="auto" w:frame="1"/>
          </w:rPr>
          <w:t>Portuguese</w:t>
        </w:r>
      </w:hyperlink>
      <w:r w:rsidR="00CB1486" w:rsidRPr="00A94AB0">
        <w:rPr>
          <w:rFonts w:ascii="Times New Roman" w:eastAsia="Times New Roman" w:hAnsi="Times New Roman" w:cs="Times New Roman"/>
          <w:sz w:val="24"/>
          <w:szCs w:val="24"/>
        </w:rPr>
        <w:t>, from the Department of Spanish and Portuguese.</w:t>
      </w:r>
    </w:p>
    <w:p w14:paraId="4F247ADC"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5" w:tooltip="The Department of Spanish and Portuguese website." w:history="1">
        <w:r w:rsidR="00CB1486" w:rsidRPr="00A94AB0">
          <w:rPr>
            <w:rFonts w:ascii="Times New Roman" w:eastAsia="Times New Roman" w:hAnsi="Times New Roman" w:cs="Times New Roman"/>
            <w:sz w:val="24"/>
            <w:szCs w:val="24"/>
            <w:u w:val="single"/>
            <w:bdr w:val="none" w:sz="0" w:space="0" w:color="auto" w:frame="1"/>
          </w:rPr>
          <w:t>Quechua</w:t>
        </w:r>
      </w:hyperlink>
      <w:r w:rsidR="00CB1486" w:rsidRPr="00A94AB0">
        <w:rPr>
          <w:rFonts w:ascii="Times New Roman" w:eastAsia="Times New Roman" w:hAnsi="Times New Roman" w:cs="Times New Roman"/>
          <w:sz w:val="24"/>
          <w:szCs w:val="24"/>
        </w:rPr>
        <w:t>, from the Department of Spanish and Portuguese.</w:t>
      </w:r>
    </w:p>
    <w:p w14:paraId="458A1D64"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6"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Romanian</w:t>
        </w:r>
      </w:hyperlink>
      <w:r w:rsidR="00CB1486" w:rsidRPr="00A94AB0">
        <w:rPr>
          <w:rFonts w:ascii="Times New Roman" w:eastAsia="Times New Roman" w:hAnsi="Times New Roman" w:cs="Times New Roman"/>
          <w:sz w:val="24"/>
          <w:szCs w:val="24"/>
        </w:rPr>
        <w:t>, from the Department of Slavic and East European Languages and Cultures.</w:t>
      </w:r>
    </w:p>
    <w:p w14:paraId="5E966C81"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7"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Russian</w:t>
        </w:r>
      </w:hyperlink>
      <w:r w:rsidR="00CB1486" w:rsidRPr="00A94AB0">
        <w:rPr>
          <w:rFonts w:ascii="Times New Roman" w:eastAsia="Times New Roman" w:hAnsi="Times New Roman" w:cs="Times New Roman"/>
          <w:sz w:val="24"/>
          <w:szCs w:val="24"/>
        </w:rPr>
        <w:t>, from the Department of Slavic and East European Languages and Cultures.</w:t>
      </w:r>
    </w:p>
    <w:p w14:paraId="4BCD6F46"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8" w:tooltip="The Department of African American and African Studies website." w:history="1">
        <w:r w:rsidR="00CB1486" w:rsidRPr="00A94AB0">
          <w:rPr>
            <w:rFonts w:ascii="Times New Roman" w:eastAsia="Times New Roman" w:hAnsi="Times New Roman" w:cs="Times New Roman"/>
            <w:sz w:val="24"/>
            <w:szCs w:val="24"/>
            <w:u w:val="single"/>
            <w:bdr w:val="none" w:sz="0" w:space="0" w:color="auto" w:frame="1"/>
          </w:rPr>
          <w:t>Somali</w:t>
        </w:r>
      </w:hyperlink>
      <w:r w:rsidR="00CB1486" w:rsidRPr="00A94AB0">
        <w:rPr>
          <w:rFonts w:ascii="Times New Roman" w:eastAsia="Times New Roman" w:hAnsi="Times New Roman" w:cs="Times New Roman"/>
          <w:sz w:val="24"/>
          <w:szCs w:val="24"/>
        </w:rPr>
        <w:t>, from the Center for Languages, Literatures and Cultures.</w:t>
      </w:r>
    </w:p>
    <w:p w14:paraId="2332A52D"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29" w:tooltip="The Department of Spanish and Portuguese website." w:history="1">
        <w:r w:rsidR="00CB1486" w:rsidRPr="00A94AB0">
          <w:rPr>
            <w:rFonts w:ascii="Times New Roman" w:eastAsia="Times New Roman" w:hAnsi="Times New Roman" w:cs="Times New Roman"/>
            <w:sz w:val="24"/>
            <w:szCs w:val="24"/>
            <w:u w:val="single"/>
            <w:bdr w:val="none" w:sz="0" w:space="0" w:color="auto" w:frame="1"/>
          </w:rPr>
          <w:t>Spanish</w:t>
        </w:r>
      </w:hyperlink>
      <w:r w:rsidR="00CB1486" w:rsidRPr="00A94AB0">
        <w:rPr>
          <w:rFonts w:ascii="Times New Roman" w:eastAsia="Times New Roman" w:hAnsi="Times New Roman" w:cs="Times New Roman"/>
          <w:sz w:val="24"/>
          <w:szCs w:val="24"/>
        </w:rPr>
        <w:t>, from the Department of Spanish and Portuguese.</w:t>
      </w:r>
    </w:p>
    <w:p w14:paraId="68F77388"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0" w:tooltip="The Department of African American and African Studies website." w:history="1">
        <w:r w:rsidR="00CB1486" w:rsidRPr="00A94AB0">
          <w:rPr>
            <w:rFonts w:ascii="Times New Roman" w:eastAsia="Times New Roman" w:hAnsi="Times New Roman" w:cs="Times New Roman"/>
            <w:sz w:val="24"/>
            <w:szCs w:val="24"/>
            <w:u w:val="single"/>
            <w:bdr w:val="none" w:sz="0" w:space="0" w:color="auto" w:frame="1"/>
          </w:rPr>
          <w:t>Swahili</w:t>
        </w:r>
      </w:hyperlink>
      <w:r w:rsidR="00CB1486" w:rsidRPr="00A94AB0">
        <w:rPr>
          <w:rFonts w:ascii="Times New Roman" w:eastAsia="Times New Roman" w:hAnsi="Times New Roman" w:cs="Times New Roman"/>
          <w:sz w:val="24"/>
          <w:szCs w:val="24"/>
        </w:rPr>
        <w:t>, from the Center for Languages, Literatures and Cultures.</w:t>
      </w:r>
    </w:p>
    <w:p w14:paraId="78180D7B"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1" w:tooltip="The Department of Germanic Languages and Literatures website." w:history="1">
        <w:r w:rsidR="00CB1486" w:rsidRPr="00A94AB0">
          <w:rPr>
            <w:rFonts w:ascii="Times New Roman" w:eastAsia="Times New Roman" w:hAnsi="Times New Roman" w:cs="Times New Roman"/>
            <w:sz w:val="24"/>
            <w:szCs w:val="24"/>
            <w:u w:val="single"/>
            <w:bdr w:val="none" w:sz="0" w:space="0" w:color="auto" w:frame="1"/>
          </w:rPr>
          <w:t>Swedish</w:t>
        </w:r>
      </w:hyperlink>
      <w:r w:rsidR="00CB1486" w:rsidRPr="00A94AB0">
        <w:rPr>
          <w:rFonts w:ascii="Times New Roman" w:eastAsia="Times New Roman" w:hAnsi="Times New Roman" w:cs="Times New Roman"/>
          <w:sz w:val="24"/>
          <w:szCs w:val="24"/>
        </w:rPr>
        <w:t>, from the Department of Germanic Languages and Literatures.</w:t>
      </w:r>
    </w:p>
    <w:p w14:paraId="4DCA2929"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2" w:tooltip="The Department of East Asian Languages and Literatures website." w:history="1">
        <w:r w:rsidR="00CB1486" w:rsidRPr="00A94AB0">
          <w:rPr>
            <w:rFonts w:ascii="Times New Roman" w:eastAsia="Times New Roman" w:hAnsi="Times New Roman" w:cs="Times New Roman"/>
            <w:sz w:val="24"/>
            <w:szCs w:val="24"/>
            <w:u w:val="single"/>
            <w:bdr w:val="none" w:sz="0" w:space="0" w:color="auto" w:frame="1"/>
          </w:rPr>
          <w:t>Tibetan</w:t>
        </w:r>
      </w:hyperlink>
      <w:r w:rsidR="00CB1486" w:rsidRPr="00A94AB0">
        <w:rPr>
          <w:rFonts w:ascii="Times New Roman" w:eastAsia="Times New Roman" w:hAnsi="Times New Roman" w:cs="Times New Roman"/>
          <w:sz w:val="24"/>
          <w:szCs w:val="24"/>
        </w:rPr>
        <w:t>, from the Department of East Asian Languages and Literatures.</w:t>
      </w:r>
    </w:p>
    <w:p w14:paraId="5F99DEF0"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3"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Turkish</w:t>
        </w:r>
      </w:hyperlink>
      <w:r w:rsidR="00CB1486" w:rsidRPr="00A94AB0">
        <w:rPr>
          <w:rFonts w:ascii="Times New Roman" w:eastAsia="Times New Roman" w:hAnsi="Times New Roman" w:cs="Times New Roman"/>
          <w:sz w:val="24"/>
          <w:szCs w:val="24"/>
        </w:rPr>
        <w:t>, from the Department of Near Eastern Languages and Cultures.</w:t>
      </w:r>
    </w:p>
    <w:p w14:paraId="2D0A7D3F"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4" w:tooltip="The Department of Near Eastern Languages and Cultures website." w:history="1">
        <w:r w:rsidR="00CB1486" w:rsidRPr="00A94AB0">
          <w:rPr>
            <w:rFonts w:ascii="Times New Roman" w:eastAsia="Times New Roman" w:hAnsi="Times New Roman" w:cs="Times New Roman"/>
            <w:sz w:val="24"/>
            <w:szCs w:val="24"/>
            <w:u w:val="single"/>
            <w:bdr w:val="none" w:sz="0" w:space="0" w:color="auto" w:frame="1"/>
          </w:rPr>
          <w:t>Urdu</w:t>
        </w:r>
      </w:hyperlink>
      <w:r w:rsidR="00CB1486" w:rsidRPr="00A94AB0">
        <w:rPr>
          <w:rFonts w:ascii="Times New Roman" w:eastAsia="Times New Roman" w:hAnsi="Times New Roman" w:cs="Times New Roman"/>
          <w:sz w:val="24"/>
          <w:szCs w:val="24"/>
        </w:rPr>
        <w:t>, from the Department of Near Eastern Languages and Cultures.</w:t>
      </w:r>
    </w:p>
    <w:p w14:paraId="0673AE7C" w14:textId="77777777" w:rsidR="00CB1486" w:rsidRPr="00A94AB0" w:rsidRDefault="006D26DF" w:rsidP="00CB1486">
      <w:pPr>
        <w:numPr>
          <w:ilvl w:val="0"/>
          <w:numId w:val="2"/>
        </w:numPr>
        <w:shd w:val="clear" w:color="auto" w:fill="FFFFFF"/>
        <w:spacing w:after="0" w:line="240" w:lineRule="auto"/>
        <w:ind w:left="360" w:right="360"/>
        <w:textAlignment w:val="baseline"/>
        <w:rPr>
          <w:rFonts w:ascii="Times New Roman" w:eastAsia="Times New Roman" w:hAnsi="Times New Roman" w:cs="Times New Roman"/>
          <w:sz w:val="24"/>
          <w:szCs w:val="24"/>
        </w:rPr>
      </w:pPr>
      <w:hyperlink r:id="rId35" w:tooltip="The Department of Slavic and East European Languages and Cultures website." w:history="1">
        <w:r w:rsidR="00CB1486" w:rsidRPr="00A94AB0">
          <w:rPr>
            <w:rFonts w:ascii="Times New Roman" w:eastAsia="Times New Roman" w:hAnsi="Times New Roman" w:cs="Times New Roman"/>
            <w:sz w:val="24"/>
            <w:szCs w:val="24"/>
            <w:u w:val="single"/>
            <w:bdr w:val="none" w:sz="0" w:space="0" w:color="auto" w:frame="1"/>
          </w:rPr>
          <w:t>Uzbek</w:t>
        </w:r>
      </w:hyperlink>
      <w:r w:rsidR="00CB1486" w:rsidRPr="00A94AB0">
        <w:rPr>
          <w:rFonts w:ascii="Times New Roman" w:eastAsia="Times New Roman" w:hAnsi="Times New Roman" w:cs="Times New Roman"/>
          <w:sz w:val="24"/>
          <w:szCs w:val="24"/>
        </w:rPr>
        <w:t>, from the Department of Near Eastern Languages and Cultures.</w:t>
      </w:r>
    </w:p>
    <w:p w14:paraId="34AE0BE0" w14:textId="1A77D00D" w:rsidR="00CB1486" w:rsidRDefault="008A4BA4" w:rsidP="00CB1486">
      <w:pPr>
        <w:pStyle w:val="yiv6932554034msonormal"/>
        <w:shd w:val="clear" w:color="auto" w:fill="FFFFFF"/>
        <w:rPr>
          <w:color w:val="26282A"/>
        </w:rPr>
      </w:pPr>
      <w:r>
        <w:rPr>
          <w:color w:val="26282A"/>
        </w:rPr>
        <w:t>New i</w:t>
      </w:r>
      <w:r w:rsidR="00A13684">
        <w:rPr>
          <w:color w:val="26282A"/>
        </w:rPr>
        <w:t>ncoming students</w:t>
      </w:r>
      <w:r>
        <w:rPr>
          <w:color w:val="26282A"/>
        </w:rPr>
        <w:t xml:space="preserve"> are free to take any foreign language that they choose. However, </w:t>
      </w:r>
      <w:r w:rsidR="00CB1486" w:rsidRPr="00A94AB0">
        <w:rPr>
          <w:color w:val="26282A"/>
        </w:rPr>
        <w:t xml:space="preserve">students who have taken two or more years of a world language in high school but do not have Advanced Placement (AP), College Credit Plus (CCP), or transfer (K) credit for such a language will be required to take </w:t>
      </w:r>
      <w:r w:rsidR="007F5094">
        <w:rPr>
          <w:color w:val="26282A"/>
        </w:rPr>
        <w:t>a</w:t>
      </w:r>
      <w:r w:rsidR="00CB1486" w:rsidRPr="00A94AB0">
        <w:rPr>
          <w:color w:val="26282A"/>
        </w:rPr>
        <w:t xml:space="preserve"> placement test during their orientation program; the results of that placement test will determine in which course they need to begin in </w:t>
      </w:r>
      <w:r w:rsidR="00462FA1">
        <w:rPr>
          <w:color w:val="26282A"/>
        </w:rPr>
        <w:t xml:space="preserve">if they choose to take that language </w:t>
      </w:r>
      <w:r w:rsidR="00CB1486" w:rsidRPr="00A94AB0">
        <w:rPr>
          <w:color w:val="26282A"/>
        </w:rPr>
        <w:t>to fulfill the language requirement. Some students will place into 1101, some will place into a review course for 1101 and 1102; some will place into 1102; some will place into 1103; and still others will place beyond 1103.  A student who places beyond 1103 via the placement testing will have satisfied the World Languages Requirement. Likewise, a student who has AP, CCP, or K credit for 1103 will have fulfilled the requirement.  Students who do not place beyond 1103 and do not have AP, CCP, or K credit for 1103 will be encouraged to take the language class into which they placed during their first or second semester on campus to avoid language attrition. Students who are unable to take that language course during their first year at OSU will be required to retake the placement test before beginning language coursework.</w:t>
      </w:r>
    </w:p>
    <w:p w14:paraId="7A10B670" w14:textId="72B2E69B" w:rsidR="007F5094" w:rsidRDefault="007F5094" w:rsidP="00CB1486">
      <w:pPr>
        <w:pStyle w:val="yiv6932554034msonormal"/>
        <w:shd w:val="clear" w:color="auto" w:fill="FFFFFF"/>
      </w:pPr>
      <w:r>
        <w:t xml:space="preserve">We offer computerized placement testing for French, German, Spanish, Italian, Hebrew, Swahili and Arabic. </w:t>
      </w:r>
      <w:r w:rsidRPr="00A94AB0">
        <w:t xml:space="preserve">With the new Digital Flagship program, all freshman will be able to take the placement tests on their iPads. Shelly Nutter of the Center of Languages, Literatures and Cultures (CLLC) is meeting with Cory Tressler in March to begin discussions </w:t>
      </w:r>
      <w:r>
        <w:t>about placing an icon link on the iPads that</w:t>
      </w:r>
      <w:r w:rsidRPr="00A94AB0">
        <w:t xml:space="preserve"> will take students to the </w:t>
      </w:r>
      <w:r>
        <w:t xml:space="preserve">computerized </w:t>
      </w:r>
      <w:r w:rsidRPr="00A94AB0">
        <w:t xml:space="preserve">placement tests. The registrar’s office tech department (via Michael Stumpf) has stated that they </w:t>
      </w:r>
      <w:r>
        <w:t>will</w:t>
      </w:r>
      <w:r w:rsidRPr="00A94AB0">
        <w:t xml:space="preserve"> be able to generate reports for the CLLC listing students who did NOT take a world language </w:t>
      </w:r>
      <w:r>
        <w:t>course</w:t>
      </w:r>
      <w:r w:rsidRPr="00A94AB0">
        <w:t xml:space="preserve"> within 12 months of taking a placement </w:t>
      </w:r>
      <w:r>
        <w:t>test. The departments where the other languages reside do placement testing either by paper exam or interview or a combination of both. Students in the languages that do not have a computerized placement test will take the test in their department and the department will send the test results to the registrar’s office for placement on the student’s transcript. If the placement test is on the student’s transcript, we will still be notified if a student did not take that language within 12 months of the placement test.</w:t>
      </w:r>
    </w:p>
    <w:p w14:paraId="110F1ADD" w14:textId="6F637FEE" w:rsidR="001C249B" w:rsidRDefault="001C249B" w:rsidP="007B36B0">
      <w:pPr>
        <w:spacing w:after="0" w:line="240" w:lineRule="auto"/>
        <w:rPr>
          <w:rFonts w:ascii="Times New Roman" w:eastAsia="Times New Roman" w:hAnsi="Times New Roman" w:cs="Times New Roman"/>
          <w:color w:val="000000"/>
          <w:sz w:val="24"/>
          <w:szCs w:val="24"/>
        </w:rPr>
      </w:pPr>
      <w:r w:rsidRPr="00A94AB0">
        <w:rPr>
          <w:rFonts w:ascii="Times New Roman" w:eastAsia="Times New Roman" w:hAnsi="Times New Roman" w:cs="Times New Roman"/>
          <w:color w:val="000000"/>
          <w:sz w:val="24"/>
          <w:szCs w:val="24"/>
        </w:rPr>
        <w:t xml:space="preserve">Heritage learners, or students who have been exposed to a language other than English in a home or community environment, </w:t>
      </w:r>
      <w:r>
        <w:rPr>
          <w:rFonts w:ascii="Times New Roman" w:eastAsia="Times New Roman" w:hAnsi="Times New Roman" w:cs="Times New Roman"/>
          <w:color w:val="000000"/>
          <w:sz w:val="24"/>
          <w:szCs w:val="24"/>
        </w:rPr>
        <w:t xml:space="preserve">may have background in their heritage language as well as the language they studied in high school. Since courses have already been developed and continue to be developed specifically for Heritage learners, these students </w:t>
      </w:r>
      <w:r w:rsidRPr="00A94AB0">
        <w:rPr>
          <w:rFonts w:ascii="Times New Roman" w:eastAsia="Times New Roman" w:hAnsi="Times New Roman" w:cs="Times New Roman"/>
          <w:color w:val="000000"/>
          <w:sz w:val="24"/>
          <w:szCs w:val="24"/>
        </w:rPr>
        <w:t xml:space="preserve">are encouraged to take a </w:t>
      </w:r>
      <w:r w:rsidRPr="00A94AB0">
        <w:rPr>
          <w:rFonts w:ascii="Times New Roman" w:eastAsia="Times New Roman" w:hAnsi="Times New Roman" w:cs="Times New Roman"/>
          <w:color w:val="000000"/>
          <w:sz w:val="24"/>
          <w:szCs w:val="24"/>
        </w:rPr>
        <w:lastRenderedPageBreak/>
        <w:t xml:space="preserve">placement test in </w:t>
      </w:r>
      <w:r>
        <w:rPr>
          <w:rFonts w:ascii="Times New Roman" w:eastAsia="Times New Roman" w:hAnsi="Times New Roman" w:cs="Times New Roman"/>
          <w:color w:val="000000"/>
          <w:sz w:val="24"/>
          <w:szCs w:val="24"/>
        </w:rPr>
        <w:t>their heritage</w:t>
      </w:r>
      <w:r w:rsidRPr="00A94AB0">
        <w:rPr>
          <w:rFonts w:ascii="Times New Roman" w:eastAsia="Times New Roman" w:hAnsi="Times New Roman" w:cs="Times New Roman"/>
          <w:color w:val="000000"/>
          <w:sz w:val="24"/>
          <w:szCs w:val="24"/>
        </w:rPr>
        <w:t xml:space="preserve"> language in addition to the language studied in high school</w:t>
      </w:r>
      <w:r>
        <w:rPr>
          <w:rFonts w:ascii="Times New Roman" w:eastAsia="Times New Roman" w:hAnsi="Times New Roman" w:cs="Times New Roman"/>
          <w:color w:val="000000"/>
          <w:sz w:val="24"/>
          <w:szCs w:val="24"/>
        </w:rPr>
        <w:t xml:space="preserve"> so that they can choose which language they wish to pursue to satisfy their World Languages Requirement.</w:t>
      </w:r>
    </w:p>
    <w:p w14:paraId="3BEA7E98" w14:textId="77777777" w:rsidR="001C249B" w:rsidRDefault="001C249B" w:rsidP="007B36B0">
      <w:pPr>
        <w:spacing w:after="0" w:line="240" w:lineRule="auto"/>
        <w:rPr>
          <w:rFonts w:ascii="Times New Roman" w:eastAsia="Times New Roman" w:hAnsi="Times New Roman" w:cs="Times New Roman"/>
          <w:color w:val="000000"/>
          <w:sz w:val="24"/>
          <w:szCs w:val="24"/>
        </w:rPr>
      </w:pPr>
    </w:p>
    <w:p w14:paraId="24DBAC57" w14:textId="1776B5C8" w:rsidR="00FA341D" w:rsidRPr="00A94AB0" w:rsidRDefault="00A13684" w:rsidP="007B36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Native speakers, defined as s</w:t>
      </w:r>
      <w:r w:rsidR="00FA341D" w:rsidRPr="00A94AB0">
        <w:rPr>
          <w:rFonts w:ascii="Times New Roman" w:eastAsia="Times New Roman" w:hAnsi="Times New Roman" w:cs="Times New Roman"/>
          <w:color w:val="000000"/>
          <w:sz w:val="24"/>
          <w:szCs w:val="24"/>
        </w:rPr>
        <w:t xml:space="preserve">tudents who </w:t>
      </w:r>
      <w:r w:rsidR="00EF3DCE" w:rsidRPr="00A94AB0">
        <w:rPr>
          <w:rFonts w:ascii="Times New Roman" w:eastAsia="Times New Roman" w:hAnsi="Times New Roman" w:cs="Times New Roman"/>
          <w:color w:val="000000"/>
          <w:sz w:val="24"/>
          <w:szCs w:val="24"/>
        </w:rPr>
        <w:t>have completed high school in a language other than English</w:t>
      </w:r>
      <w:r>
        <w:rPr>
          <w:rFonts w:ascii="Times New Roman" w:eastAsia="Times New Roman" w:hAnsi="Times New Roman" w:cs="Times New Roman"/>
          <w:color w:val="000000"/>
          <w:sz w:val="24"/>
          <w:szCs w:val="24"/>
        </w:rPr>
        <w:t>,</w:t>
      </w:r>
      <w:r w:rsidR="00EF3DCE" w:rsidRPr="00A94AB0">
        <w:rPr>
          <w:rFonts w:ascii="Times New Roman" w:eastAsia="Times New Roman" w:hAnsi="Times New Roman" w:cs="Times New Roman"/>
          <w:color w:val="000000"/>
          <w:sz w:val="24"/>
          <w:szCs w:val="24"/>
        </w:rPr>
        <w:t xml:space="preserve"> </w:t>
      </w:r>
      <w:r w:rsidR="001B4E3E" w:rsidRPr="00A94AB0">
        <w:rPr>
          <w:rFonts w:ascii="Times New Roman" w:eastAsia="Times New Roman" w:hAnsi="Times New Roman" w:cs="Times New Roman"/>
          <w:color w:val="000000"/>
          <w:sz w:val="24"/>
          <w:szCs w:val="24"/>
        </w:rPr>
        <w:t>are exempted from the World L</w:t>
      </w:r>
      <w:r w:rsidR="00FA341D" w:rsidRPr="00A94AB0">
        <w:rPr>
          <w:rFonts w:ascii="Times New Roman" w:eastAsia="Times New Roman" w:hAnsi="Times New Roman" w:cs="Times New Roman"/>
          <w:color w:val="000000"/>
          <w:sz w:val="24"/>
          <w:szCs w:val="24"/>
        </w:rPr>
        <w:t>anguage</w:t>
      </w:r>
      <w:r w:rsidR="001B4E3E" w:rsidRPr="00A94AB0">
        <w:rPr>
          <w:rFonts w:ascii="Times New Roman" w:eastAsia="Times New Roman" w:hAnsi="Times New Roman" w:cs="Times New Roman"/>
          <w:color w:val="000000"/>
          <w:sz w:val="24"/>
          <w:szCs w:val="24"/>
        </w:rPr>
        <w:t>s</w:t>
      </w:r>
      <w:r w:rsidR="00FA341D" w:rsidRPr="00A94AB0">
        <w:rPr>
          <w:rFonts w:ascii="Times New Roman" w:eastAsia="Times New Roman" w:hAnsi="Times New Roman" w:cs="Times New Roman"/>
          <w:color w:val="000000"/>
          <w:sz w:val="24"/>
          <w:szCs w:val="24"/>
        </w:rPr>
        <w:t xml:space="preserve"> </w:t>
      </w:r>
      <w:r w:rsidR="001B4E3E" w:rsidRPr="00A94AB0">
        <w:rPr>
          <w:rFonts w:ascii="Times New Roman" w:eastAsia="Times New Roman" w:hAnsi="Times New Roman" w:cs="Times New Roman"/>
          <w:color w:val="000000"/>
          <w:sz w:val="24"/>
          <w:szCs w:val="24"/>
        </w:rPr>
        <w:t>Re</w:t>
      </w:r>
      <w:r w:rsidR="00EF3DCE" w:rsidRPr="00A94AB0">
        <w:rPr>
          <w:rFonts w:ascii="Times New Roman" w:eastAsia="Times New Roman" w:hAnsi="Times New Roman" w:cs="Times New Roman"/>
          <w:color w:val="000000"/>
          <w:sz w:val="24"/>
          <w:szCs w:val="24"/>
        </w:rPr>
        <w:t>qui</w:t>
      </w:r>
      <w:r w:rsidR="00200E9A" w:rsidRPr="00A94AB0">
        <w:rPr>
          <w:rFonts w:ascii="Times New Roman" w:eastAsia="Times New Roman" w:hAnsi="Times New Roman" w:cs="Times New Roman"/>
          <w:color w:val="000000"/>
          <w:sz w:val="24"/>
          <w:szCs w:val="24"/>
        </w:rPr>
        <w:t>re</w:t>
      </w:r>
      <w:r w:rsidR="00EF3DCE" w:rsidRPr="00A94AB0">
        <w:rPr>
          <w:rFonts w:ascii="Times New Roman" w:eastAsia="Times New Roman" w:hAnsi="Times New Roman" w:cs="Times New Roman"/>
          <w:color w:val="000000"/>
          <w:sz w:val="24"/>
          <w:szCs w:val="24"/>
        </w:rPr>
        <w:t>ment</w:t>
      </w:r>
      <w:r w:rsidR="00FA341D" w:rsidRPr="00A94AB0">
        <w:rPr>
          <w:rFonts w:ascii="Times New Roman" w:eastAsia="Times New Roman" w:hAnsi="Times New Roman" w:cs="Times New Roman"/>
          <w:color w:val="000000"/>
          <w:sz w:val="24"/>
          <w:szCs w:val="24"/>
        </w:rPr>
        <w:t xml:space="preserve">. </w:t>
      </w:r>
      <w:r w:rsidR="00A94AB0" w:rsidRPr="00A94AB0">
        <w:rPr>
          <w:rFonts w:ascii="Times New Roman" w:eastAsia="Times New Roman" w:hAnsi="Times New Roman" w:cs="Times New Roman"/>
          <w:color w:val="000000"/>
          <w:sz w:val="24"/>
          <w:szCs w:val="24"/>
        </w:rPr>
        <w:t xml:space="preserve">Students in </w:t>
      </w:r>
      <w:r w:rsidR="00A94AB0" w:rsidRPr="00A94AB0">
        <w:rPr>
          <w:rFonts w:ascii="Times New Roman" w:hAnsi="Times New Roman" w:cs="Times New Roman"/>
          <w:color w:val="26282A"/>
          <w:sz w:val="24"/>
          <w:szCs w:val="24"/>
          <w:shd w:val="clear" w:color="auto" w:fill="FFFFFF"/>
        </w:rPr>
        <w:t>“tagged degrees” in the arts (Bachelor of Art Education, Bachelor of Fine Arts, Bachelor of Music, Bachelor of Music Education, Bachelor of Science in Design) that do not have a world languages requirement under the current General Education Requirements are exempted.</w:t>
      </w:r>
      <w:r w:rsidR="00FA341D" w:rsidRPr="00A94AB0">
        <w:rPr>
          <w:rFonts w:ascii="Times New Roman" w:eastAsia="Times New Roman" w:hAnsi="Times New Roman" w:cs="Times New Roman"/>
          <w:color w:val="000000"/>
          <w:sz w:val="24"/>
          <w:szCs w:val="24"/>
        </w:rPr>
        <w:t xml:space="preserve"> </w:t>
      </w:r>
    </w:p>
    <w:p w14:paraId="30EA238F" w14:textId="77777777" w:rsidR="007B36B0" w:rsidRPr="00A94AB0" w:rsidRDefault="007B36B0" w:rsidP="007B36B0">
      <w:pPr>
        <w:spacing w:after="0" w:line="240" w:lineRule="auto"/>
        <w:rPr>
          <w:rFonts w:ascii="Times New Roman" w:eastAsia="Times New Roman" w:hAnsi="Times New Roman" w:cs="Times New Roman"/>
          <w:color w:val="000000"/>
          <w:sz w:val="24"/>
          <w:szCs w:val="24"/>
        </w:rPr>
      </w:pPr>
    </w:p>
    <w:p w14:paraId="62770CA4" w14:textId="007F0468" w:rsidR="0005218E" w:rsidRPr="00A94AB0" w:rsidRDefault="0005218E" w:rsidP="0005218E">
      <w:pPr>
        <w:rPr>
          <w:rFonts w:ascii="Times New Roman" w:hAnsi="Times New Roman" w:cs="Times New Roman"/>
          <w:sz w:val="24"/>
          <w:szCs w:val="24"/>
        </w:rPr>
      </w:pPr>
      <w:r w:rsidRPr="00A94AB0">
        <w:rPr>
          <w:rFonts w:ascii="Times New Roman" w:hAnsi="Times New Roman" w:cs="Times New Roman"/>
          <w:sz w:val="24"/>
          <w:szCs w:val="24"/>
        </w:rPr>
        <w:t>We propose that The World Languages Requirement reside in the Foundations of the new General Education program.</w:t>
      </w:r>
    </w:p>
    <w:p w14:paraId="0C2CE3F2" w14:textId="23D8A881" w:rsidR="0005218E" w:rsidRPr="00A94AB0" w:rsidRDefault="0005218E">
      <w:pPr>
        <w:rPr>
          <w:rFonts w:ascii="Times New Roman" w:hAnsi="Times New Roman" w:cs="Times New Roman"/>
          <w:sz w:val="24"/>
          <w:szCs w:val="24"/>
        </w:rPr>
      </w:pPr>
      <w:r w:rsidRPr="00A94AB0">
        <w:rPr>
          <w:rFonts w:ascii="Times New Roman" w:hAnsi="Times New Roman" w:cs="Times New Roman"/>
          <w:sz w:val="24"/>
          <w:szCs w:val="24"/>
        </w:rPr>
        <w:t xml:space="preserve">We propose that assessment of the World Languages Requirement remain with the Arts and Sciences Assessment Panel. The expected learning outcomes, as well as the assessment plan for all </w:t>
      </w:r>
      <w:r w:rsidR="00774EEF" w:rsidRPr="00A94AB0">
        <w:rPr>
          <w:rFonts w:ascii="Times New Roman" w:hAnsi="Times New Roman" w:cs="Times New Roman"/>
          <w:sz w:val="24"/>
          <w:szCs w:val="24"/>
        </w:rPr>
        <w:t>World Lan</w:t>
      </w:r>
      <w:r w:rsidR="00D23578" w:rsidRPr="00A94AB0">
        <w:rPr>
          <w:rFonts w:ascii="Times New Roman" w:hAnsi="Times New Roman" w:cs="Times New Roman"/>
          <w:sz w:val="24"/>
          <w:szCs w:val="24"/>
        </w:rPr>
        <w:t>g</w:t>
      </w:r>
      <w:r w:rsidR="00774EEF" w:rsidRPr="00A94AB0">
        <w:rPr>
          <w:rFonts w:ascii="Times New Roman" w:hAnsi="Times New Roman" w:cs="Times New Roman"/>
          <w:sz w:val="24"/>
          <w:szCs w:val="24"/>
        </w:rPr>
        <w:t xml:space="preserve">uages </w:t>
      </w:r>
      <w:r w:rsidRPr="00A94AB0">
        <w:rPr>
          <w:rFonts w:ascii="Times New Roman" w:hAnsi="Times New Roman" w:cs="Times New Roman"/>
          <w:sz w:val="24"/>
          <w:szCs w:val="24"/>
        </w:rPr>
        <w:t>GE courses</w:t>
      </w:r>
      <w:r w:rsidR="00D23578" w:rsidRPr="00A94AB0">
        <w:rPr>
          <w:rFonts w:ascii="Times New Roman" w:hAnsi="Times New Roman" w:cs="Times New Roman"/>
          <w:sz w:val="24"/>
          <w:szCs w:val="24"/>
        </w:rPr>
        <w:t>,</w:t>
      </w:r>
      <w:r w:rsidRPr="00A94AB0">
        <w:rPr>
          <w:rFonts w:ascii="Times New Roman" w:hAnsi="Times New Roman" w:cs="Times New Roman"/>
          <w:sz w:val="24"/>
          <w:szCs w:val="24"/>
        </w:rPr>
        <w:t xml:space="preserve"> already exist and will remain unaltered unless departments wish to change or update them.</w:t>
      </w:r>
    </w:p>
    <w:p w14:paraId="50E61E2E" w14:textId="29767B89" w:rsidR="0005218E" w:rsidRPr="00A94AB0" w:rsidRDefault="009231C1" w:rsidP="009231C1">
      <w:pPr>
        <w:spacing w:after="0" w:line="240" w:lineRule="auto"/>
        <w:rPr>
          <w:rFonts w:ascii="Times New Roman" w:hAnsi="Times New Roman" w:cs="Times New Roman"/>
          <w:sz w:val="24"/>
          <w:szCs w:val="24"/>
        </w:rPr>
      </w:pPr>
      <w:r w:rsidRPr="00A94AB0">
        <w:rPr>
          <w:rFonts w:ascii="Times New Roman" w:hAnsi="Times New Roman" w:cs="Times New Roman"/>
          <w:b/>
          <w:sz w:val="24"/>
          <w:szCs w:val="24"/>
        </w:rPr>
        <w:t>Approval:</w:t>
      </w:r>
      <w:r w:rsidRPr="00A94AB0">
        <w:rPr>
          <w:rFonts w:ascii="Times New Roman" w:hAnsi="Times New Roman" w:cs="Times New Roman"/>
          <w:sz w:val="24"/>
          <w:szCs w:val="24"/>
        </w:rPr>
        <w:t xml:space="preserve"> </w:t>
      </w:r>
    </w:p>
    <w:p w14:paraId="2720AA79" w14:textId="11D9A14E" w:rsidR="004E4DEA"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Tia Jones, </w:t>
      </w:r>
      <w:r w:rsidR="004E4DEA" w:rsidRPr="00A94AB0">
        <w:rPr>
          <w:rFonts w:ascii="Times New Roman" w:hAnsi="Times New Roman" w:cs="Times New Roman"/>
          <w:sz w:val="24"/>
          <w:szCs w:val="24"/>
        </w:rPr>
        <w:t>American Sign Language Program</w:t>
      </w:r>
    </w:p>
    <w:p w14:paraId="2B389CAE" w14:textId="0630A529" w:rsidR="004E4DEA" w:rsidRPr="00A94AB0" w:rsidRDefault="007B36B0"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Anthony Kaldellis, </w:t>
      </w:r>
      <w:r w:rsidR="004E4DEA" w:rsidRPr="00A94AB0">
        <w:rPr>
          <w:rFonts w:ascii="Times New Roman" w:hAnsi="Times New Roman" w:cs="Times New Roman"/>
          <w:sz w:val="24"/>
          <w:szCs w:val="24"/>
        </w:rPr>
        <w:t>Department of Classics</w:t>
      </w:r>
    </w:p>
    <w:p w14:paraId="35DF85F2" w14:textId="3356690E"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Mark Bender, </w:t>
      </w:r>
      <w:r w:rsidR="009231C1" w:rsidRPr="00A94AB0">
        <w:rPr>
          <w:rFonts w:ascii="Times New Roman" w:hAnsi="Times New Roman" w:cs="Times New Roman"/>
          <w:sz w:val="24"/>
          <w:szCs w:val="24"/>
        </w:rPr>
        <w:t>Department of East Asian Languages and Literatures</w:t>
      </w:r>
    </w:p>
    <w:p w14:paraId="5B225A5F" w14:textId="534AE9AF"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Dana Renga, </w:t>
      </w:r>
      <w:r w:rsidR="009231C1" w:rsidRPr="00A94AB0">
        <w:rPr>
          <w:rFonts w:ascii="Times New Roman" w:hAnsi="Times New Roman" w:cs="Times New Roman"/>
          <w:sz w:val="24"/>
          <w:szCs w:val="24"/>
        </w:rPr>
        <w:t>Department of French and Italian</w:t>
      </w:r>
    </w:p>
    <w:p w14:paraId="4FF1D6F6" w14:textId="5053A96F"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Robert Holub, </w:t>
      </w:r>
      <w:r w:rsidR="009231C1" w:rsidRPr="00A94AB0">
        <w:rPr>
          <w:rFonts w:ascii="Times New Roman" w:hAnsi="Times New Roman" w:cs="Times New Roman"/>
          <w:sz w:val="24"/>
          <w:szCs w:val="24"/>
        </w:rPr>
        <w:t>Department of Germanic Languages and Literatures</w:t>
      </w:r>
    </w:p>
    <w:p w14:paraId="0BD07D27" w14:textId="562D788C" w:rsidR="009231C1" w:rsidRPr="00A94AB0" w:rsidRDefault="007B36B0"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Morgan Liu, </w:t>
      </w:r>
      <w:r w:rsidR="009231C1" w:rsidRPr="00A94AB0">
        <w:rPr>
          <w:rFonts w:ascii="Times New Roman" w:hAnsi="Times New Roman" w:cs="Times New Roman"/>
          <w:sz w:val="24"/>
          <w:szCs w:val="24"/>
        </w:rPr>
        <w:t>Department of Near Eastern Languages and Cultures</w:t>
      </w:r>
    </w:p>
    <w:p w14:paraId="585DF637" w14:textId="5918BBDD"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Yana Hashamova, </w:t>
      </w:r>
      <w:r w:rsidR="009231C1" w:rsidRPr="00A94AB0">
        <w:rPr>
          <w:rFonts w:ascii="Times New Roman" w:hAnsi="Times New Roman" w:cs="Times New Roman"/>
          <w:sz w:val="24"/>
          <w:szCs w:val="24"/>
        </w:rPr>
        <w:t>Department of Slavic and East European Languages and Cultures</w:t>
      </w:r>
    </w:p>
    <w:p w14:paraId="27BB8CE6" w14:textId="2EDFF692" w:rsidR="009231C1"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Laura Podalsky, </w:t>
      </w:r>
      <w:r w:rsidR="009231C1" w:rsidRPr="00A94AB0">
        <w:rPr>
          <w:rFonts w:ascii="Times New Roman" w:hAnsi="Times New Roman" w:cs="Times New Roman"/>
          <w:sz w:val="24"/>
          <w:szCs w:val="24"/>
        </w:rPr>
        <w:t>Department of Spanish and Portuguese</w:t>
      </w:r>
    </w:p>
    <w:p w14:paraId="61192320" w14:textId="0AC222DB" w:rsidR="00FA341D" w:rsidRPr="00A94AB0" w:rsidRDefault="00200E9A" w:rsidP="009231C1">
      <w:pPr>
        <w:spacing w:after="0" w:line="240" w:lineRule="auto"/>
        <w:rPr>
          <w:rFonts w:ascii="Times New Roman" w:hAnsi="Times New Roman" w:cs="Times New Roman"/>
          <w:sz w:val="24"/>
          <w:szCs w:val="24"/>
        </w:rPr>
      </w:pPr>
      <w:r w:rsidRPr="00A94AB0">
        <w:rPr>
          <w:rFonts w:ascii="Times New Roman" w:hAnsi="Times New Roman" w:cs="Times New Roman"/>
          <w:sz w:val="24"/>
          <w:szCs w:val="24"/>
        </w:rPr>
        <w:t xml:space="preserve">Glenn Martinez, </w:t>
      </w:r>
      <w:r w:rsidR="009231C1" w:rsidRPr="00A94AB0">
        <w:rPr>
          <w:rFonts w:ascii="Times New Roman" w:hAnsi="Times New Roman" w:cs="Times New Roman"/>
          <w:sz w:val="24"/>
          <w:szCs w:val="24"/>
        </w:rPr>
        <w:t>Center for Languages, Literatures and Cultures</w:t>
      </w:r>
    </w:p>
    <w:sectPr w:rsidR="00FA341D" w:rsidRPr="00A94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E4DE" w14:textId="77777777" w:rsidR="006D26DF" w:rsidRDefault="006D26DF" w:rsidP="00CB1486">
      <w:pPr>
        <w:spacing w:after="0" w:line="240" w:lineRule="auto"/>
      </w:pPr>
      <w:r>
        <w:separator/>
      </w:r>
    </w:p>
  </w:endnote>
  <w:endnote w:type="continuationSeparator" w:id="0">
    <w:p w14:paraId="33E0B852" w14:textId="77777777" w:rsidR="006D26DF" w:rsidRDefault="006D26DF" w:rsidP="00CB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F0E0" w14:textId="77777777" w:rsidR="006D26DF" w:rsidRDefault="006D26DF" w:rsidP="00CB1486">
      <w:pPr>
        <w:spacing w:after="0" w:line="240" w:lineRule="auto"/>
      </w:pPr>
      <w:r>
        <w:separator/>
      </w:r>
    </w:p>
  </w:footnote>
  <w:footnote w:type="continuationSeparator" w:id="0">
    <w:p w14:paraId="341D61F2" w14:textId="77777777" w:rsidR="006D26DF" w:rsidRDefault="006D26DF" w:rsidP="00CB1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B34CF"/>
    <w:multiLevelType w:val="multilevel"/>
    <w:tmpl w:val="4E7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B0F97"/>
    <w:multiLevelType w:val="multilevel"/>
    <w:tmpl w:val="89D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1D"/>
    <w:rsid w:val="00033107"/>
    <w:rsid w:val="0005218E"/>
    <w:rsid w:val="001800A3"/>
    <w:rsid w:val="001B4E3E"/>
    <w:rsid w:val="001C249B"/>
    <w:rsid w:val="001C4507"/>
    <w:rsid w:val="00200E9A"/>
    <w:rsid w:val="00204999"/>
    <w:rsid w:val="00256EB6"/>
    <w:rsid w:val="00282043"/>
    <w:rsid w:val="0033160D"/>
    <w:rsid w:val="003E2361"/>
    <w:rsid w:val="00462FA1"/>
    <w:rsid w:val="0048362F"/>
    <w:rsid w:val="004C0881"/>
    <w:rsid w:val="004E4DEA"/>
    <w:rsid w:val="00622C41"/>
    <w:rsid w:val="006B6844"/>
    <w:rsid w:val="006D26DF"/>
    <w:rsid w:val="006E7EC6"/>
    <w:rsid w:val="007300E7"/>
    <w:rsid w:val="00774EEF"/>
    <w:rsid w:val="007A51CA"/>
    <w:rsid w:val="007B36B0"/>
    <w:rsid w:val="007F5094"/>
    <w:rsid w:val="00881E73"/>
    <w:rsid w:val="008A1F63"/>
    <w:rsid w:val="008A4BA4"/>
    <w:rsid w:val="009231C1"/>
    <w:rsid w:val="009B5D02"/>
    <w:rsid w:val="00A13684"/>
    <w:rsid w:val="00A63CB2"/>
    <w:rsid w:val="00A90055"/>
    <w:rsid w:val="00A94AB0"/>
    <w:rsid w:val="00CB1486"/>
    <w:rsid w:val="00CB7644"/>
    <w:rsid w:val="00D23578"/>
    <w:rsid w:val="00D508A2"/>
    <w:rsid w:val="00E61BC8"/>
    <w:rsid w:val="00E86779"/>
    <w:rsid w:val="00EF3DCE"/>
    <w:rsid w:val="00FA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91726"/>
  <w15:docId w15:val="{31161842-2679-4163-8844-E3FBF5B7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1D"/>
    <w:pPr>
      <w:ind w:left="720"/>
      <w:contextualSpacing/>
    </w:pPr>
  </w:style>
  <w:style w:type="paragraph" w:styleId="BalloonText">
    <w:name w:val="Balloon Text"/>
    <w:basedOn w:val="Normal"/>
    <w:link w:val="BalloonTextChar"/>
    <w:uiPriority w:val="99"/>
    <w:semiHidden/>
    <w:unhideWhenUsed/>
    <w:rsid w:val="00EF3D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D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51CA"/>
    <w:rPr>
      <w:sz w:val="18"/>
      <w:szCs w:val="18"/>
    </w:rPr>
  </w:style>
  <w:style w:type="paragraph" w:styleId="CommentText">
    <w:name w:val="annotation text"/>
    <w:basedOn w:val="Normal"/>
    <w:link w:val="CommentTextChar"/>
    <w:uiPriority w:val="99"/>
    <w:semiHidden/>
    <w:unhideWhenUsed/>
    <w:rsid w:val="007A51CA"/>
    <w:pPr>
      <w:spacing w:line="240" w:lineRule="auto"/>
    </w:pPr>
    <w:rPr>
      <w:sz w:val="24"/>
      <w:szCs w:val="24"/>
    </w:rPr>
  </w:style>
  <w:style w:type="character" w:customStyle="1" w:styleId="CommentTextChar">
    <w:name w:val="Comment Text Char"/>
    <w:basedOn w:val="DefaultParagraphFont"/>
    <w:link w:val="CommentText"/>
    <w:uiPriority w:val="99"/>
    <w:semiHidden/>
    <w:rsid w:val="007A51CA"/>
    <w:rPr>
      <w:sz w:val="24"/>
      <w:szCs w:val="24"/>
    </w:rPr>
  </w:style>
  <w:style w:type="paragraph" w:styleId="CommentSubject">
    <w:name w:val="annotation subject"/>
    <w:basedOn w:val="CommentText"/>
    <w:next w:val="CommentText"/>
    <w:link w:val="CommentSubjectChar"/>
    <w:uiPriority w:val="99"/>
    <w:semiHidden/>
    <w:unhideWhenUsed/>
    <w:rsid w:val="007A51CA"/>
    <w:rPr>
      <w:b/>
      <w:bCs/>
      <w:sz w:val="20"/>
      <w:szCs w:val="20"/>
    </w:rPr>
  </w:style>
  <w:style w:type="character" w:customStyle="1" w:styleId="CommentSubjectChar">
    <w:name w:val="Comment Subject Char"/>
    <w:basedOn w:val="CommentTextChar"/>
    <w:link w:val="CommentSubject"/>
    <w:uiPriority w:val="99"/>
    <w:semiHidden/>
    <w:rsid w:val="007A51CA"/>
    <w:rPr>
      <w:b/>
      <w:bCs/>
      <w:sz w:val="20"/>
      <w:szCs w:val="20"/>
    </w:rPr>
  </w:style>
  <w:style w:type="paragraph" w:customStyle="1" w:styleId="yiv6932554034msonormal">
    <w:name w:val="yiv6932554034msonormal"/>
    <w:basedOn w:val="Normal"/>
    <w:rsid w:val="00CB148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1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86"/>
    <w:rPr>
      <w:sz w:val="20"/>
      <w:szCs w:val="20"/>
    </w:rPr>
  </w:style>
  <w:style w:type="character" w:styleId="FootnoteReference">
    <w:name w:val="footnote reference"/>
    <w:basedOn w:val="DefaultParagraphFont"/>
    <w:uiPriority w:val="99"/>
    <w:semiHidden/>
    <w:unhideWhenUsed/>
    <w:rsid w:val="00CB1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osu.edu/" TargetMode="External"/><Relationship Id="rId13" Type="http://schemas.openxmlformats.org/officeDocument/2006/relationships/hyperlink" Target="http://frit.osu.edu/" TargetMode="External"/><Relationship Id="rId18" Type="http://schemas.openxmlformats.org/officeDocument/2006/relationships/hyperlink" Target="http://frit.osu.edu/" TargetMode="External"/><Relationship Id="rId26" Type="http://schemas.openxmlformats.org/officeDocument/2006/relationships/hyperlink" Target="http://slavic.osu.edu/" TargetMode="External"/><Relationship Id="rId3" Type="http://schemas.openxmlformats.org/officeDocument/2006/relationships/styles" Target="styles.xml"/><Relationship Id="rId21" Type="http://schemas.openxmlformats.org/officeDocument/2006/relationships/hyperlink" Target="http://classics.osu.edu/" TargetMode="External"/><Relationship Id="rId34" Type="http://schemas.openxmlformats.org/officeDocument/2006/relationships/hyperlink" Target="http://nelc.osu.edu/" TargetMode="External"/><Relationship Id="rId7" Type="http://schemas.openxmlformats.org/officeDocument/2006/relationships/endnotes" Target="endnotes.xml"/><Relationship Id="rId12" Type="http://schemas.openxmlformats.org/officeDocument/2006/relationships/hyperlink" Target="http://slavic.osu.edu/" TargetMode="External"/><Relationship Id="rId17" Type="http://schemas.openxmlformats.org/officeDocument/2006/relationships/hyperlink" Target="http://nelc.osu.edu/" TargetMode="External"/><Relationship Id="rId25" Type="http://schemas.openxmlformats.org/officeDocument/2006/relationships/hyperlink" Target="http://sppo.osu.edu/" TargetMode="External"/><Relationship Id="rId33" Type="http://schemas.openxmlformats.org/officeDocument/2006/relationships/hyperlink" Target="http://nelc.osu.edu/" TargetMode="External"/><Relationship Id="rId2" Type="http://schemas.openxmlformats.org/officeDocument/2006/relationships/numbering" Target="numbering.xml"/><Relationship Id="rId16" Type="http://schemas.openxmlformats.org/officeDocument/2006/relationships/hyperlink" Target="http://nelc.osu.edu/" TargetMode="External"/><Relationship Id="rId20" Type="http://schemas.openxmlformats.org/officeDocument/2006/relationships/hyperlink" Target="http://deall.osu.edu/" TargetMode="External"/><Relationship Id="rId29" Type="http://schemas.openxmlformats.org/officeDocument/2006/relationships/hyperlink" Target="http://sppo.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ll.osu.edu/" TargetMode="External"/><Relationship Id="rId24" Type="http://schemas.openxmlformats.org/officeDocument/2006/relationships/hyperlink" Target="http://sppo.osu.edu/" TargetMode="External"/><Relationship Id="rId32" Type="http://schemas.openxmlformats.org/officeDocument/2006/relationships/hyperlink" Target="http://deall.os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assics.osu.edu/" TargetMode="External"/><Relationship Id="rId23" Type="http://schemas.openxmlformats.org/officeDocument/2006/relationships/hyperlink" Target="http://slavic.osu.edu/" TargetMode="External"/><Relationship Id="rId28" Type="http://schemas.openxmlformats.org/officeDocument/2006/relationships/hyperlink" Target="http://aaas.osu.edu/" TargetMode="External"/><Relationship Id="rId36" Type="http://schemas.openxmlformats.org/officeDocument/2006/relationships/fontTable" Target="fontTable.xml"/><Relationship Id="rId10" Type="http://schemas.openxmlformats.org/officeDocument/2006/relationships/hyperlink" Target="http://slavic.osu.edu/" TargetMode="External"/><Relationship Id="rId19" Type="http://schemas.openxmlformats.org/officeDocument/2006/relationships/hyperlink" Target="http://deall.osu.edu/" TargetMode="External"/><Relationship Id="rId31" Type="http://schemas.openxmlformats.org/officeDocument/2006/relationships/hyperlink" Target="http://germanic.osu.edu/" TargetMode="External"/><Relationship Id="rId4" Type="http://schemas.openxmlformats.org/officeDocument/2006/relationships/settings" Target="settings.xml"/><Relationship Id="rId9" Type="http://schemas.openxmlformats.org/officeDocument/2006/relationships/hyperlink" Target="http://nelc.osu.edu/" TargetMode="External"/><Relationship Id="rId14" Type="http://schemas.openxmlformats.org/officeDocument/2006/relationships/hyperlink" Target="http://germanic.osu.edu/" TargetMode="External"/><Relationship Id="rId22" Type="http://schemas.openxmlformats.org/officeDocument/2006/relationships/hyperlink" Target="http://nelc.osu.edu/" TargetMode="External"/><Relationship Id="rId27" Type="http://schemas.openxmlformats.org/officeDocument/2006/relationships/hyperlink" Target="http://slavic.osu.edu/" TargetMode="External"/><Relationship Id="rId30" Type="http://schemas.openxmlformats.org/officeDocument/2006/relationships/hyperlink" Target="http://aaas.osu.edu/" TargetMode="External"/><Relationship Id="rId35" Type="http://schemas.openxmlformats.org/officeDocument/2006/relationships/hyperlink" Target="http://slavi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A296-129A-44C9-81D0-3BF1F3F9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 Janice M.</dc:creator>
  <cp:lastModifiedBy>meg</cp:lastModifiedBy>
  <cp:revision>3</cp:revision>
  <dcterms:created xsi:type="dcterms:W3CDTF">2019-03-13T17:34:00Z</dcterms:created>
  <dcterms:modified xsi:type="dcterms:W3CDTF">2019-03-13T17:34:00Z</dcterms:modified>
</cp:coreProperties>
</file>